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A271" w14:textId="77777777" w:rsidR="00773ECB" w:rsidRPr="00773ECB" w:rsidRDefault="00773ECB" w:rsidP="00773ECB">
      <w:pPr>
        <w:rPr>
          <w:b/>
          <w:bCs/>
        </w:rPr>
      </w:pPr>
      <w:r w:rsidRPr="00773ECB">
        <w:rPr>
          <w:b/>
          <w:bCs/>
        </w:rPr>
        <w:t>Unser Angebot</w:t>
      </w:r>
    </w:p>
    <w:p w14:paraId="4E84927B" w14:textId="77777777" w:rsidR="00773ECB" w:rsidRPr="00773ECB" w:rsidRDefault="00773ECB" w:rsidP="00773ECB">
      <w:r w:rsidRPr="00773ECB">
        <w:t xml:space="preserve">Die duale Anlagestrategie verbindet stabile Renditen mit hoher Sicherheit. Eine preiswerte und sichere Vorsorgelösung für Unternehmen, die keine Anlageverantwortung übernehmen können oder möchten. Bei diesem teilautonomen Vorsorgemodell werden die finanziellen Risiken bei Todesfall und Invalidität durch die AXA getragen. Das Pooling der Kapitalanlagen senkt Kosten und Risiken. Die duale Anlagestrategie bietet eine einzigartige Kombination von Sicherheit und Ertrag: Während 60% des Anlagevermögens mittels Kapitalmarktanlagen performanceorientiert investiert werden, sind die restlichen 40% mit Zinsgarantie bei der AXA rückgedeckt. </w:t>
      </w:r>
    </w:p>
    <w:p w14:paraId="4EF452D2" w14:textId="77777777" w:rsidR="00773ECB" w:rsidRPr="00773ECB" w:rsidRDefault="00773ECB" w:rsidP="00773ECB">
      <w:r w:rsidRPr="00773ECB">
        <w:rPr>
          <w:b/>
          <w:bCs/>
        </w:rPr>
        <w:t xml:space="preserve">Was sind die Vorteile von Dual </w:t>
      </w:r>
      <w:proofErr w:type="spellStart"/>
      <w:r w:rsidRPr="00773ECB">
        <w:rPr>
          <w:b/>
          <w:bCs/>
        </w:rPr>
        <w:t>Invest</w:t>
      </w:r>
      <w:proofErr w:type="spellEnd"/>
      <w:r w:rsidRPr="00773ECB">
        <w:rPr>
          <w:b/>
          <w:bCs/>
        </w:rPr>
        <w:t>?</w:t>
      </w:r>
    </w:p>
    <w:p w14:paraId="0E1A2FD6" w14:textId="77777777" w:rsidR="00773ECB" w:rsidRPr="00773ECB" w:rsidRDefault="00773ECB" w:rsidP="00773ECB">
      <w:pPr>
        <w:numPr>
          <w:ilvl w:val="0"/>
          <w:numId w:val="1"/>
        </w:numPr>
      </w:pPr>
      <w:r w:rsidRPr="00773ECB">
        <w:t>Individuelle Gestaltung des Vorsorgeplans</w:t>
      </w:r>
    </w:p>
    <w:p w14:paraId="1DA9EDA6" w14:textId="77777777" w:rsidR="00773ECB" w:rsidRPr="00773ECB" w:rsidRDefault="00773ECB" w:rsidP="00773ECB">
      <w:pPr>
        <w:numPr>
          <w:ilvl w:val="0"/>
          <w:numId w:val="1"/>
        </w:numPr>
      </w:pPr>
      <w:r w:rsidRPr="00773ECB">
        <w:t>Keine Anlageverantwortung</w:t>
      </w:r>
    </w:p>
    <w:p w14:paraId="1B0EC908" w14:textId="77777777" w:rsidR="00773ECB" w:rsidRPr="00773ECB" w:rsidRDefault="00773ECB" w:rsidP="00773ECB">
      <w:pPr>
        <w:numPr>
          <w:ilvl w:val="0"/>
          <w:numId w:val="1"/>
        </w:numPr>
      </w:pPr>
      <w:r w:rsidRPr="00773ECB">
        <w:t>Überdurchschnittliche Umwandlungssätze:</w:t>
      </w:r>
    </w:p>
    <w:p w14:paraId="2142F593" w14:textId="77777777" w:rsidR="00773ECB" w:rsidRPr="00773ECB" w:rsidRDefault="00773ECB" w:rsidP="00773ECB">
      <w:pPr>
        <w:numPr>
          <w:ilvl w:val="1"/>
          <w:numId w:val="1"/>
        </w:numPr>
      </w:pPr>
      <w:r w:rsidRPr="00773ECB">
        <w:t xml:space="preserve">Männer Pensionsalter 65: Obligatorium 6,8 %, </w:t>
      </w:r>
      <w:proofErr w:type="spellStart"/>
      <w:r w:rsidRPr="00773ECB">
        <w:t>Überobligatorium</w:t>
      </w:r>
      <w:proofErr w:type="spellEnd"/>
      <w:r w:rsidRPr="00773ECB">
        <w:t xml:space="preserve"> 5,5 %</w:t>
      </w:r>
    </w:p>
    <w:p w14:paraId="20D3CEB0" w14:textId="77777777" w:rsidR="00773ECB" w:rsidRPr="00773ECB" w:rsidRDefault="00773ECB" w:rsidP="00773ECB">
      <w:pPr>
        <w:numPr>
          <w:ilvl w:val="1"/>
          <w:numId w:val="1"/>
        </w:numPr>
      </w:pPr>
      <w:r w:rsidRPr="00773ECB">
        <w:t xml:space="preserve">Frauen Pensionsalter 64: Obligatorium 6,8 %, </w:t>
      </w:r>
      <w:proofErr w:type="spellStart"/>
      <w:r w:rsidRPr="00773ECB">
        <w:t>Überobligatorium</w:t>
      </w:r>
      <w:proofErr w:type="spellEnd"/>
      <w:r w:rsidRPr="00773ECB">
        <w:t xml:space="preserve"> 5,353 %</w:t>
      </w:r>
    </w:p>
    <w:p w14:paraId="78ACF7F2" w14:textId="77777777" w:rsidR="00773ECB" w:rsidRPr="00773ECB" w:rsidRDefault="00773ECB" w:rsidP="00773ECB">
      <w:pPr>
        <w:numPr>
          <w:ilvl w:val="0"/>
          <w:numId w:val="1"/>
        </w:numPr>
      </w:pPr>
      <w:r w:rsidRPr="00773ECB">
        <w:t>Vierteljährlich nachschüssige Beitragserhebung</w:t>
      </w:r>
    </w:p>
    <w:p w14:paraId="1EB10018" w14:textId="77777777" w:rsidR="00773ECB" w:rsidRPr="00773ECB" w:rsidRDefault="00773ECB" w:rsidP="00773ECB">
      <w:pPr>
        <w:numPr>
          <w:ilvl w:val="0"/>
          <w:numId w:val="1"/>
        </w:numPr>
      </w:pPr>
      <w:r w:rsidRPr="00773ECB">
        <w:t>Vollständige Abdeckung der Risiken Invalidität und Tod durch die AXA Leben</w:t>
      </w:r>
    </w:p>
    <w:p w14:paraId="075D51E5" w14:textId="77777777" w:rsidR="00773ECB" w:rsidRPr="00773ECB" w:rsidRDefault="00773ECB" w:rsidP="00773ECB">
      <w:pPr>
        <w:numPr>
          <w:ilvl w:val="0"/>
          <w:numId w:val="1"/>
        </w:numPr>
      </w:pPr>
      <w:r w:rsidRPr="00773ECB">
        <w:t>Einfache und schnelle Online-Verwaltung     </w:t>
      </w:r>
    </w:p>
    <w:p w14:paraId="645E5ACB" w14:textId="77777777" w:rsidR="0008779E" w:rsidRDefault="0008779E"/>
    <w:sectPr w:rsidR="00087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F0A"/>
    <w:multiLevelType w:val="multilevel"/>
    <w:tmpl w:val="3F24A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CB"/>
    <w:rsid w:val="0008779E"/>
    <w:rsid w:val="00773E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E821"/>
  <w15:chartTrackingRefBased/>
  <w15:docId w15:val="{F2EC7F24-D55A-4165-9EA1-D8A3EA30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6049">
      <w:bodyDiv w:val="1"/>
      <w:marLeft w:val="0"/>
      <w:marRight w:val="0"/>
      <w:marTop w:val="0"/>
      <w:marBottom w:val="0"/>
      <w:divBdr>
        <w:top w:val="none" w:sz="0" w:space="0" w:color="auto"/>
        <w:left w:val="none" w:sz="0" w:space="0" w:color="auto"/>
        <w:bottom w:val="none" w:sz="0" w:space="0" w:color="auto"/>
        <w:right w:val="none" w:sz="0" w:space="0" w:color="auto"/>
      </w:divBdr>
      <w:divsChild>
        <w:div w:id="515342258">
          <w:marLeft w:val="0"/>
          <w:marRight w:val="0"/>
          <w:marTop w:val="0"/>
          <w:marBottom w:val="0"/>
          <w:divBdr>
            <w:top w:val="none" w:sz="0" w:space="0" w:color="auto"/>
            <w:left w:val="none" w:sz="0" w:space="0" w:color="auto"/>
            <w:bottom w:val="none" w:sz="0" w:space="0" w:color="auto"/>
            <w:right w:val="none" w:sz="0" w:space="0" w:color="auto"/>
          </w:divBdr>
          <w:divsChild>
            <w:div w:id="1736123375">
              <w:marLeft w:val="0"/>
              <w:marRight w:val="0"/>
              <w:marTop w:val="0"/>
              <w:marBottom w:val="0"/>
              <w:divBdr>
                <w:top w:val="none" w:sz="0" w:space="0" w:color="auto"/>
                <w:left w:val="none" w:sz="0" w:space="0" w:color="auto"/>
                <w:bottom w:val="none" w:sz="0" w:space="0" w:color="auto"/>
                <w:right w:val="none" w:sz="0" w:space="0" w:color="auto"/>
              </w:divBdr>
            </w:div>
          </w:divsChild>
        </w:div>
        <w:div w:id="915631379">
          <w:marLeft w:val="0"/>
          <w:marRight w:val="0"/>
          <w:marTop w:val="0"/>
          <w:marBottom w:val="0"/>
          <w:divBdr>
            <w:top w:val="none" w:sz="0" w:space="0" w:color="auto"/>
            <w:left w:val="none" w:sz="0" w:space="0" w:color="auto"/>
            <w:bottom w:val="none" w:sz="0" w:space="0" w:color="auto"/>
            <w:right w:val="none" w:sz="0" w:space="0" w:color="auto"/>
          </w:divBdr>
          <w:divsChild>
            <w:div w:id="882064406">
              <w:marLeft w:val="0"/>
              <w:marRight w:val="0"/>
              <w:marTop w:val="0"/>
              <w:marBottom w:val="0"/>
              <w:divBdr>
                <w:top w:val="none" w:sz="0" w:space="0" w:color="auto"/>
                <w:left w:val="none" w:sz="0" w:space="0" w:color="auto"/>
                <w:bottom w:val="none" w:sz="0" w:space="0" w:color="auto"/>
                <w:right w:val="none" w:sz="0" w:space="0" w:color="auto"/>
              </w:divBdr>
              <w:divsChild>
                <w:div w:id="1887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6397">
      <w:bodyDiv w:val="1"/>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auto"/>
            <w:left w:val="none" w:sz="0" w:space="0" w:color="auto"/>
            <w:bottom w:val="none" w:sz="0" w:space="0" w:color="auto"/>
            <w:right w:val="none" w:sz="0" w:space="0" w:color="auto"/>
          </w:divBdr>
          <w:divsChild>
            <w:div w:id="1242136571">
              <w:marLeft w:val="0"/>
              <w:marRight w:val="0"/>
              <w:marTop w:val="0"/>
              <w:marBottom w:val="0"/>
              <w:divBdr>
                <w:top w:val="none" w:sz="0" w:space="0" w:color="auto"/>
                <w:left w:val="none" w:sz="0" w:space="0" w:color="auto"/>
                <w:bottom w:val="none" w:sz="0" w:space="0" w:color="auto"/>
                <w:right w:val="none" w:sz="0" w:space="0" w:color="auto"/>
              </w:divBdr>
            </w:div>
          </w:divsChild>
        </w:div>
        <w:div w:id="98331425">
          <w:marLeft w:val="0"/>
          <w:marRight w:val="0"/>
          <w:marTop w:val="0"/>
          <w:marBottom w:val="0"/>
          <w:divBdr>
            <w:top w:val="none" w:sz="0" w:space="0" w:color="auto"/>
            <w:left w:val="none" w:sz="0" w:space="0" w:color="auto"/>
            <w:bottom w:val="none" w:sz="0" w:space="0" w:color="auto"/>
            <w:right w:val="none" w:sz="0" w:space="0" w:color="auto"/>
          </w:divBdr>
          <w:divsChild>
            <w:div w:id="1002657505">
              <w:marLeft w:val="0"/>
              <w:marRight w:val="0"/>
              <w:marTop w:val="0"/>
              <w:marBottom w:val="0"/>
              <w:divBdr>
                <w:top w:val="none" w:sz="0" w:space="0" w:color="auto"/>
                <w:left w:val="none" w:sz="0" w:space="0" w:color="auto"/>
                <w:bottom w:val="none" w:sz="0" w:space="0" w:color="auto"/>
                <w:right w:val="none" w:sz="0" w:space="0" w:color="auto"/>
              </w:divBdr>
              <w:divsChild>
                <w:div w:id="3182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954</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Plüss</dc:creator>
  <cp:keywords/>
  <dc:description/>
  <cp:lastModifiedBy>Katharina Plüss</cp:lastModifiedBy>
  <cp:revision>1</cp:revision>
  <dcterms:created xsi:type="dcterms:W3CDTF">2020-07-20T22:24:00Z</dcterms:created>
  <dcterms:modified xsi:type="dcterms:W3CDTF">2020-07-20T22:25:00Z</dcterms:modified>
</cp:coreProperties>
</file>